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Dear [Director of Center for Teaching Excellence],</w:t>
      </w:r>
    </w:p>
    <w:p w:rsidR="00000000" w:rsidDel="00000000" w:rsidP="00000000" w:rsidRDefault="00000000" w:rsidRPr="00000000" w14:paraId="00000002">
      <w:pPr>
        <w:spacing w:after="240" w:before="240" w:lineRule="auto"/>
        <w:rPr/>
      </w:pPr>
      <w:r w:rsidDel="00000000" w:rsidR="00000000" w:rsidRPr="00000000">
        <w:rPr>
          <w:rtl w:val="0"/>
        </w:rPr>
        <w:t xml:space="preserve">I hope this letter finds you well. I'm writing to discuss an exciting opportunity to implement BoodleBox, a collaborative AI platform for college classrooms, in our courses. As leaders in instructional design and teaching excellence, I understand you may have questions about integrating this new technology into our pedagogical practices. I'd like to address potential concerns and highlight how BoodleBox can support our educational goals, as well as provide you with resources to answer questions that faculty and students may have.</w:t>
      </w:r>
    </w:p>
    <w:p w:rsidR="00000000" w:rsidDel="00000000" w:rsidP="00000000" w:rsidRDefault="00000000" w:rsidRPr="00000000" w14:paraId="00000003">
      <w:pPr>
        <w:spacing w:after="240" w:before="240" w:lineRule="auto"/>
        <w:rPr/>
      </w:pPr>
      <w:r w:rsidDel="00000000" w:rsidR="00000000" w:rsidRPr="00000000">
        <w:rPr>
          <w:rtl w:val="0"/>
        </w:rPr>
        <w:t xml:space="preserve">Key Features and Benefits:</w:t>
      </w:r>
    </w:p>
    <w:p w:rsidR="00000000" w:rsidDel="00000000" w:rsidP="00000000" w:rsidRDefault="00000000" w:rsidRPr="00000000" w14:paraId="00000004">
      <w:pPr>
        <w:numPr>
          <w:ilvl w:val="0"/>
          <w:numId w:val="2"/>
        </w:numPr>
        <w:spacing w:after="0" w:afterAutospacing="0" w:before="240" w:lineRule="auto"/>
        <w:ind w:left="720" w:hanging="360"/>
      </w:pPr>
      <w:r w:rsidDel="00000000" w:rsidR="00000000" w:rsidRPr="00000000">
        <w:rPr>
          <w:rtl w:val="0"/>
        </w:rPr>
        <w:t xml:space="preserve">Quick Commands: Ready-made, single-click experiences to help new users understand BoodleBox's capabilities.</w:t>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rtl w:val="0"/>
        </w:rPr>
        <w:t xml:space="preserve">Multiple AI Models: Access to various AI models from different vendors.</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AI Helpers: Over 1,000 pre-made prompts to assist users without requiring prompt engineering skills.</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Knowledge Integration: Ability to incorporate documents, web sources, and prior chats for personalized responses.</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GroupChat: Facilitates collaboration among multiple individuals, AI assistants, and knowledge sources.</w:t>
      </w:r>
    </w:p>
    <w:p w:rsidR="00000000" w:rsidDel="00000000" w:rsidP="00000000" w:rsidRDefault="00000000" w:rsidRPr="00000000" w14:paraId="00000009">
      <w:pPr>
        <w:numPr>
          <w:ilvl w:val="0"/>
          <w:numId w:val="2"/>
        </w:numPr>
        <w:spacing w:after="240" w:before="0" w:beforeAutospacing="0" w:lineRule="auto"/>
        <w:ind w:left="720" w:hanging="360"/>
      </w:pPr>
      <w:r w:rsidDel="00000000" w:rsidR="00000000" w:rsidRPr="00000000">
        <w:rPr>
          <w:rtl w:val="0"/>
        </w:rPr>
        <w:t xml:space="preserve">Search Functionality: Users can search past chats and explore public content.</w:t>
      </w:r>
    </w:p>
    <w:p w:rsidR="00000000" w:rsidDel="00000000" w:rsidP="00000000" w:rsidRDefault="00000000" w:rsidRPr="00000000" w14:paraId="0000000A">
      <w:pPr>
        <w:spacing w:after="240" w:before="240" w:lineRule="auto"/>
        <w:rPr/>
      </w:pPr>
      <w:r w:rsidDel="00000000" w:rsidR="00000000" w:rsidRPr="00000000">
        <w:rPr>
          <w:rtl w:val="0"/>
        </w:rPr>
        <w:t xml:space="preserve">Addressing Potential Concerns:</w:t>
      </w:r>
    </w:p>
    <w:p w:rsidR="00000000" w:rsidDel="00000000" w:rsidP="00000000" w:rsidRDefault="00000000" w:rsidRPr="00000000" w14:paraId="0000000B">
      <w:pPr>
        <w:numPr>
          <w:ilvl w:val="0"/>
          <w:numId w:val="7"/>
        </w:numPr>
        <w:spacing w:after="240" w:before="240" w:lineRule="auto"/>
        <w:ind w:left="720" w:hanging="360"/>
      </w:pPr>
      <w:r w:rsidDel="00000000" w:rsidR="00000000" w:rsidRPr="00000000">
        <w:rPr>
          <w:rtl w:val="0"/>
        </w:rPr>
        <w:t xml:space="preserve">Pedagogical Value and Integration:</w:t>
      </w:r>
    </w:p>
    <w:p w:rsidR="00000000" w:rsidDel="00000000" w:rsidP="00000000" w:rsidRDefault="00000000" w:rsidRPr="00000000" w14:paraId="0000000C">
      <w:pPr>
        <w:spacing w:after="240" w:before="240" w:lineRule="auto"/>
        <w:rPr/>
      </w:pPr>
      <w:r w:rsidDel="00000000" w:rsidR="00000000" w:rsidRPr="00000000">
        <w:rPr>
          <w:rtl w:val="0"/>
        </w:rPr>
        <w:t xml:space="preserve">BoodleBox enhances traditional teaching methods by offering personalized learning experiences, increased student engagement, and support for interdisciplinary learning. The platform can be seamlessly integrated into existing curricula, allowing faculty to explore innovative teaching strategies.</w:t>
      </w:r>
    </w:p>
    <w:p w:rsidR="00000000" w:rsidDel="00000000" w:rsidP="00000000" w:rsidRDefault="00000000" w:rsidRPr="00000000" w14:paraId="0000000D">
      <w:pPr>
        <w:numPr>
          <w:ilvl w:val="0"/>
          <w:numId w:val="1"/>
        </w:numPr>
        <w:spacing w:after="240" w:before="240" w:lineRule="auto"/>
        <w:ind w:left="720" w:hanging="360"/>
      </w:pPr>
      <w:r w:rsidDel="00000000" w:rsidR="00000000" w:rsidRPr="00000000">
        <w:rPr>
          <w:rtl w:val="0"/>
        </w:rPr>
        <w:t xml:space="preserve">Academic Integrity and Ethical Use:</w:t>
      </w:r>
    </w:p>
    <w:p w:rsidR="00000000" w:rsidDel="00000000" w:rsidP="00000000" w:rsidRDefault="00000000" w:rsidRPr="00000000" w14:paraId="0000000E">
      <w:pPr>
        <w:spacing w:after="240" w:before="240" w:lineRule="auto"/>
        <w:rPr/>
      </w:pPr>
      <w:r w:rsidDel="00000000" w:rsidR="00000000" w:rsidRPr="00000000">
        <w:rPr>
          <w:rtl w:val="0"/>
        </w:rPr>
        <w:t xml:space="preserve">BoodleBox emphasizes responsible AI use, helping us develop clear policies on AI use in coursework and teach students how to properly cite AI sources.</w:t>
      </w:r>
    </w:p>
    <w:p w:rsidR="00000000" w:rsidDel="00000000" w:rsidP="00000000" w:rsidRDefault="00000000" w:rsidRPr="00000000" w14:paraId="0000000F">
      <w:pPr>
        <w:numPr>
          <w:ilvl w:val="0"/>
          <w:numId w:val="3"/>
        </w:numPr>
        <w:spacing w:after="240" w:before="240" w:lineRule="auto"/>
        <w:ind w:left="720" w:hanging="360"/>
      </w:pPr>
      <w:r w:rsidDel="00000000" w:rsidR="00000000" w:rsidRPr="00000000">
        <w:rPr>
          <w:rtl w:val="0"/>
        </w:rPr>
        <w:t xml:space="preserve">Support for Diverse Learning Styles:</w:t>
      </w:r>
    </w:p>
    <w:p w:rsidR="00000000" w:rsidDel="00000000" w:rsidP="00000000" w:rsidRDefault="00000000" w:rsidRPr="00000000" w14:paraId="00000010">
      <w:pPr>
        <w:spacing w:after="240" w:before="240" w:lineRule="auto"/>
        <w:rPr/>
      </w:pPr>
      <w:r w:rsidDel="00000000" w:rsidR="00000000" w:rsidRPr="00000000">
        <w:rPr>
          <w:rtl w:val="0"/>
        </w:rPr>
        <w:t xml:space="preserve">The platform accommodates different learning preferences and can offer additional assistance for students with disabilities.</w:t>
      </w:r>
    </w:p>
    <w:p w:rsidR="00000000" w:rsidDel="00000000" w:rsidP="00000000" w:rsidRDefault="00000000" w:rsidRPr="00000000" w14:paraId="00000011">
      <w:pPr>
        <w:numPr>
          <w:ilvl w:val="0"/>
          <w:numId w:val="5"/>
        </w:numPr>
        <w:spacing w:after="240" w:before="240" w:lineRule="auto"/>
        <w:ind w:left="720" w:hanging="360"/>
      </w:pPr>
      <w:r w:rsidDel="00000000" w:rsidR="00000000" w:rsidRPr="00000000">
        <w:rPr>
          <w:rtl w:val="0"/>
        </w:rPr>
        <w:t xml:space="preserve">Collaborative Learning:</w:t>
      </w:r>
    </w:p>
    <w:p w:rsidR="00000000" w:rsidDel="00000000" w:rsidP="00000000" w:rsidRDefault="00000000" w:rsidRPr="00000000" w14:paraId="00000012">
      <w:pPr>
        <w:spacing w:after="240" w:before="240" w:lineRule="auto"/>
        <w:rPr/>
      </w:pPr>
      <w:r w:rsidDel="00000000" w:rsidR="00000000" w:rsidRPr="00000000">
        <w:rPr>
          <w:rtl w:val="0"/>
        </w:rPr>
        <w:t xml:space="preserve">The GroupChat feature facilitates teamwork and collaborative problem-solving among students.</w:t>
      </w:r>
    </w:p>
    <w:p w:rsidR="00000000" w:rsidDel="00000000" w:rsidP="00000000" w:rsidRDefault="00000000" w:rsidRPr="00000000" w14:paraId="00000013">
      <w:pPr>
        <w:numPr>
          <w:ilvl w:val="0"/>
          <w:numId w:val="6"/>
        </w:numPr>
        <w:spacing w:after="240" w:before="240" w:lineRule="auto"/>
        <w:ind w:left="720" w:hanging="360"/>
      </w:pPr>
      <w:r w:rsidDel="00000000" w:rsidR="00000000" w:rsidRPr="00000000">
        <w:rPr>
          <w:rtl w:val="0"/>
        </w:rPr>
        <w:t xml:space="preserve">Course Preparation and Material Management:</w:t>
      </w:r>
    </w:p>
    <w:p w:rsidR="00000000" w:rsidDel="00000000" w:rsidP="00000000" w:rsidRDefault="00000000" w:rsidRPr="00000000" w14:paraId="00000014">
      <w:pPr>
        <w:spacing w:after="240" w:before="240" w:lineRule="auto"/>
        <w:rPr/>
      </w:pPr>
      <w:r w:rsidDel="00000000" w:rsidR="00000000" w:rsidRPr="00000000">
        <w:rPr>
          <w:rtl w:val="0"/>
        </w:rPr>
        <w:t xml:space="preserve">BoodleBox offers tools to assist faculty in course preparation, including analyzing materials, creating lesson plans, and generating study guides.</w:t>
      </w:r>
    </w:p>
    <w:p w:rsidR="00000000" w:rsidDel="00000000" w:rsidP="00000000" w:rsidRDefault="00000000" w:rsidRPr="00000000" w14:paraId="00000015">
      <w:pPr>
        <w:numPr>
          <w:ilvl w:val="0"/>
          <w:numId w:val="8"/>
        </w:numPr>
        <w:spacing w:after="240" w:before="240" w:lineRule="auto"/>
        <w:ind w:left="720" w:hanging="360"/>
      </w:pPr>
      <w:r w:rsidDel="00000000" w:rsidR="00000000" w:rsidRPr="00000000">
        <w:rPr>
          <w:rtl w:val="0"/>
        </w:rPr>
        <w:t xml:space="preserve">Assessment and Grading:</w:t>
      </w:r>
    </w:p>
    <w:p w:rsidR="00000000" w:rsidDel="00000000" w:rsidP="00000000" w:rsidRDefault="00000000" w:rsidRPr="00000000" w14:paraId="00000016">
      <w:pPr>
        <w:spacing w:after="240" w:before="240" w:lineRule="auto"/>
        <w:rPr/>
      </w:pPr>
      <w:r w:rsidDel="00000000" w:rsidR="00000000" w:rsidRPr="00000000">
        <w:rPr>
          <w:rtl w:val="0"/>
        </w:rPr>
        <w:t xml:space="preserve">The platform provides tools for streamlining assessment evaluation and accurately assessing student work that incorporates AI.</w:t>
      </w:r>
    </w:p>
    <w:p w:rsidR="00000000" w:rsidDel="00000000" w:rsidP="00000000" w:rsidRDefault="00000000" w:rsidRPr="00000000" w14:paraId="00000017">
      <w:pPr>
        <w:spacing w:after="240" w:before="240" w:lineRule="auto"/>
        <w:rPr/>
      </w:pPr>
      <w:r w:rsidDel="00000000" w:rsidR="00000000" w:rsidRPr="00000000">
        <w:rPr>
          <w:rtl w:val="0"/>
        </w:rPr>
        <w:t xml:space="preserve">Resources for Answering User Questions:</w:t>
      </w:r>
    </w:p>
    <w:p w:rsidR="00000000" w:rsidDel="00000000" w:rsidP="00000000" w:rsidRDefault="00000000" w:rsidRPr="00000000" w14:paraId="00000018">
      <w:pPr>
        <w:spacing w:after="240" w:before="240" w:lineRule="auto"/>
        <w:rPr/>
      </w:pPr>
      <w:r w:rsidDel="00000000" w:rsidR="00000000" w:rsidRPr="00000000">
        <w:rPr>
          <w:rtl w:val="0"/>
        </w:rPr>
        <w:t xml:space="preserve">To help you address questions from faculty and students, BoodleBox offers several resources:</w:t>
      </w:r>
    </w:p>
    <w:p w:rsidR="00000000" w:rsidDel="00000000" w:rsidP="00000000" w:rsidRDefault="00000000" w:rsidRPr="00000000" w14:paraId="00000019">
      <w:pPr>
        <w:numPr>
          <w:ilvl w:val="0"/>
          <w:numId w:val="4"/>
        </w:numPr>
        <w:spacing w:after="0" w:afterAutospacing="0" w:before="240" w:lineRule="auto"/>
        <w:ind w:left="720" w:hanging="360"/>
      </w:pPr>
      <w:hyperlink r:id="rId6">
        <w:r w:rsidDel="00000000" w:rsidR="00000000" w:rsidRPr="00000000">
          <w:rPr>
            <w:color w:val="1155cc"/>
            <w:u w:val="single"/>
            <w:rtl w:val="0"/>
          </w:rPr>
          <w:t xml:space="preserve">Quick Start Videos</w:t>
        </w:r>
      </w:hyperlink>
      <w:r w:rsidDel="00000000" w:rsidR="00000000" w:rsidRPr="00000000">
        <w:rPr>
          <w:rtl w:val="0"/>
        </w:rPr>
        <w:t xml:space="preserve">: These provide a rapid introduction to the platform's features and functionality.</w:t>
      </w:r>
    </w:p>
    <w:p w:rsidR="00000000" w:rsidDel="00000000" w:rsidP="00000000" w:rsidRDefault="00000000" w:rsidRPr="00000000" w14:paraId="0000001A">
      <w:pPr>
        <w:numPr>
          <w:ilvl w:val="0"/>
          <w:numId w:val="4"/>
        </w:numPr>
        <w:spacing w:after="0" w:afterAutospacing="0" w:before="0" w:beforeAutospacing="0" w:lineRule="auto"/>
        <w:ind w:left="720" w:hanging="360"/>
      </w:pPr>
      <w:hyperlink r:id="rId7">
        <w:r w:rsidDel="00000000" w:rsidR="00000000" w:rsidRPr="00000000">
          <w:rPr>
            <w:color w:val="1155cc"/>
            <w:u w:val="single"/>
            <w:rtl w:val="0"/>
          </w:rPr>
          <w:t xml:space="preserve">Instructor's Guide</w:t>
        </w:r>
      </w:hyperlink>
      <w:r w:rsidDel="00000000" w:rsidR="00000000" w:rsidRPr="00000000">
        <w:rPr>
          <w:rtl w:val="0"/>
        </w:rPr>
        <w:t xml:space="preserve">: Step-by-step instructions for getting started and implementing BoodleBox effectively.</w:t>
      </w:r>
    </w:p>
    <w:p w:rsidR="00000000" w:rsidDel="00000000" w:rsidP="00000000" w:rsidRDefault="00000000" w:rsidRPr="00000000" w14:paraId="0000001B">
      <w:pPr>
        <w:numPr>
          <w:ilvl w:val="0"/>
          <w:numId w:val="4"/>
        </w:numPr>
        <w:spacing w:after="0" w:afterAutospacing="0" w:before="0" w:beforeAutospacing="0" w:lineRule="auto"/>
        <w:ind w:left="720" w:hanging="360"/>
      </w:pPr>
      <w:hyperlink r:id="rId8">
        <w:r w:rsidDel="00000000" w:rsidR="00000000" w:rsidRPr="00000000">
          <w:rPr>
            <w:color w:val="1155cc"/>
            <w:u w:val="single"/>
            <w:rtl w:val="0"/>
          </w:rPr>
          <w:t xml:space="preserve">Use Case Library</w:t>
        </w:r>
      </w:hyperlink>
      <w:r w:rsidDel="00000000" w:rsidR="00000000" w:rsidRPr="00000000">
        <w:rPr>
          <w:rtl w:val="0"/>
        </w:rPr>
        <w:t xml:space="preserve">: Inspiration for student-AI collaboration across various disciplines.</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Collaborative AI Accelerator: Learn best practices for integrating AI into coursework.</w:t>
      </w:r>
    </w:p>
    <w:p w:rsidR="00000000" w:rsidDel="00000000" w:rsidP="00000000" w:rsidRDefault="00000000" w:rsidRPr="00000000" w14:paraId="0000001D">
      <w:pPr>
        <w:numPr>
          <w:ilvl w:val="0"/>
          <w:numId w:val="4"/>
        </w:numPr>
        <w:spacing w:after="0" w:afterAutospacing="0" w:before="0" w:beforeAutospacing="0" w:lineRule="auto"/>
        <w:ind w:left="720" w:hanging="360"/>
      </w:pPr>
      <w:hyperlink r:id="rId9">
        <w:r w:rsidDel="00000000" w:rsidR="00000000" w:rsidRPr="00000000">
          <w:rPr>
            <w:color w:val="1155cc"/>
            <w:u w:val="single"/>
            <w:rtl w:val="0"/>
          </w:rPr>
          <w:t xml:space="preserve">BoodleU Community</w:t>
        </w:r>
      </w:hyperlink>
      <w:r w:rsidDel="00000000" w:rsidR="00000000" w:rsidRPr="00000000">
        <w:rPr>
          <w:rtl w:val="0"/>
        </w:rPr>
        <w:t xml:space="preserve">: A platform for exchanging ideas and experiences with other educators using BoodleBox.</w:t>
      </w:r>
    </w:p>
    <w:p w:rsidR="00000000" w:rsidDel="00000000" w:rsidP="00000000" w:rsidRDefault="00000000" w:rsidRPr="00000000" w14:paraId="0000001E">
      <w:pPr>
        <w:numPr>
          <w:ilvl w:val="0"/>
          <w:numId w:val="4"/>
        </w:numPr>
        <w:spacing w:after="0" w:afterAutospacing="0" w:before="0" w:beforeAutospacing="0" w:lineRule="auto"/>
        <w:ind w:left="720" w:hanging="360"/>
      </w:pPr>
      <w:hyperlink r:id="rId10">
        <w:r w:rsidDel="00000000" w:rsidR="00000000" w:rsidRPr="00000000">
          <w:rPr>
            <w:color w:val="1155cc"/>
            <w:u w:val="single"/>
            <w:rtl w:val="0"/>
          </w:rPr>
          <w:t xml:space="preserve">AI Collaborative Higher Education Newsletter</w:t>
        </w:r>
      </w:hyperlink>
      <w:r w:rsidDel="00000000" w:rsidR="00000000" w:rsidRPr="00000000">
        <w:rPr>
          <w:rtl w:val="0"/>
        </w:rPr>
        <w:t xml:space="preserve">: Stay updated on the latest developments and use cases.</w:t>
      </w:r>
    </w:p>
    <w:p w:rsidR="00000000" w:rsidDel="00000000" w:rsidP="00000000" w:rsidRDefault="00000000" w:rsidRPr="00000000" w14:paraId="0000001F">
      <w:pPr>
        <w:numPr>
          <w:ilvl w:val="0"/>
          <w:numId w:val="4"/>
        </w:numPr>
        <w:spacing w:after="240" w:before="0" w:beforeAutospacing="0" w:lineRule="auto"/>
        <w:ind w:left="720" w:hanging="360"/>
      </w:pPr>
      <w:r w:rsidDel="00000000" w:rsidR="00000000" w:rsidRPr="00000000">
        <w:rPr>
          <w:rtl w:val="0"/>
        </w:rPr>
        <w:t xml:space="preserve">BoodleBox Resource Hub: Accessible via the question icon in the interface, this hub includes the BoodleBox Blog, QuickStart Guide, and a Feedback Form.</w:t>
      </w:r>
    </w:p>
    <w:p w:rsidR="00000000" w:rsidDel="00000000" w:rsidP="00000000" w:rsidRDefault="00000000" w:rsidRPr="00000000" w14:paraId="00000020">
      <w:pPr>
        <w:spacing w:after="240" w:before="240" w:lineRule="auto"/>
        <w:rPr/>
      </w:pPr>
      <w:r w:rsidDel="00000000" w:rsidR="00000000" w:rsidRPr="00000000">
        <w:rPr>
          <w:rtl w:val="0"/>
        </w:rPr>
        <w:t xml:space="preserve">For technical questions, users can contact success@boodle.ai, with responses typically provided within 4 business hours.</w:t>
      </w:r>
    </w:p>
    <w:p w:rsidR="00000000" w:rsidDel="00000000" w:rsidP="00000000" w:rsidRDefault="00000000" w:rsidRPr="00000000" w14:paraId="00000021">
      <w:pPr>
        <w:spacing w:after="240" w:before="240" w:lineRule="auto"/>
        <w:rPr/>
      </w:pPr>
      <w:r w:rsidDel="00000000" w:rsidR="00000000" w:rsidRPr="00000000">
        <w:rPr>
          <w:rtl w:val="0"/>
        </w:rPr>
        <w:t xml:space="preserve">Implementation and Costs:</w:t>
      </w:r>
    </w:p>
    <w:p w:rsidR="00000000" w:rsidDel="00000000" w:rsidP="00000000" w:rsidRDefault="00000000" w:rsidRPr="00000000" w14:paraId="00000022">
      <w:pPr>
        <w:spacing w:after="240" w:before="240" w:lineRule="auto"/>
        <w:rPr/>
      </w:pPr>
      <w:r w:rsidDel="00000000" w:rsidR="00000000" w:rsidRPr="00000000">
        <w:rPr>
          <w:rtl w:val="0"/>
        </w:rPr>
        <w:t xml:space="preserve">The pilot program offers a one-semester pilot at 50% of the usual cost. After the trial, pricing starts at $16/user/month for higher education, with discounts available for annual or bulk subscriptions.</w:t>
      </w:r>
    </w:p>
    <w:p w:rsidR="00000000" w:rsidDel="00000000" w:rsidP="00000000" w:rsidRDefault="00000000" w:rsidRPr="00000000" w14:paraId="00000023">
      <w:pPr>
        <w:spacing w:after="240" w:before="240" w:lineRule="auto"/>
        <w:rPr/>
      </w:pPr>
      <w:r w:rsidDel="00000000" w:rsidR="00000000" w:rsidRPr="00000000">
        <w:rPr>
          <w:rtl w:val="0"/>
        </w:rPr>
        <w:t xml:space="preserve">I believe this pilot program offers a valuable opportunity to explore how Collaborative AI can enhance our teaching and learning practices. It aligns with our goals of fostering innovation, critical thinking, and preparing students for the future workforce.</w:t>
      </w:r>
    </w:p>
    <w:p w:rsidR="00000000" w:rsidDel="00000000" w:rsidP="00000000" w:rsidRDefault="00000000" w:rsidRPr="00000000" w14:paraId="00000024">
      <w:pPr>
        <w:spacing w:after="240" w:before="240" w:lineRule="auto"/>
        <w:rPr/>
      </w:pPr>
      <w:r w:rsidDel="00000000" w:rsidR="00000000" w:rsidRPr="00000000">
        <w:rPr>
          <w:rtl w:val="0"/>
        </w:rPr>
        <w:t xml:space="preserve">I would welcome the opportunity to discuss this further with you and your team. Perhaps we could arrange a demonstration of the BoodleBox platform and explore how it might complement our existing instructional design strategies.</w:t>
      </w:r>
    </w:p>
    <w:p w:rsidR="00000000" w:rsidDel="00000000" w:rsidP="00000000" w:rsidRDefault="00000000" w:rsidRPr="00000000" w14:paraId="00000025">
      <w:pPr>
        <w:spacing w:after="240" w:before="240" w:lineRule="auto"/>
        <w:rPr/>
      </w:pPr>
      <w:r w:rsidDel="00000000" w:rsidR="00000000" w:rsidRPr="00000000">
        <w:rPr>
          <w:rtl w:val="0"/>
        </w:rPr>
        <w:t xml:space="preserve">Thank you for your time and consideration. I look forward to your thoughts on this exciting opportunity.</w:t>
      </w:r>
    </w:p>
    <w:p w:rsidR="00000000" w:rsidDel="00000000" w:rsidP="00000000" w:rsidRDefault="00000000" w:rsidRPr="00000000" w14:paraId="00000026">
      <w:pPr>
        <w:spacing w:after="240" w:before="240" w:lineRule="auto"/>
        <w:rPr/>
      </w:pPr>
      <w:r w:rsidDel="00000000" w:rsidR="00000000" w:rsidRPr="00000000">
        <w:rPr>
          <w:rtl w:val="0"/>
        </w:rPr>
        <w:t xml:space="preserve">Best regards,</w:t>
      </w:r>
    </w:p>
    <w:p w:rsidR="00000000" w:rsidDel="00000000" w:rsidP="00000000" w:rsidRDefault="00000000" w:rsidRPr="00000000" w14:paraId="00000027">
      <w:pPr>
        <w:spacing w:after="240" w:before="240" w:lineRule="auto"/>
        <w:rPr/>
      </w:pPr>
      <w:r w:rsidDel="00000000" w:rsidR="00000000" w:rsidRPr="00000000">
        <w:rPr>
          <w:rtl w:val="0"/>
        </w:rPr>
        <w:t xml:space="preserve">[Professor's Name]</w:t>
      </w:r>
    </w:p>
    <w:p w:rsidR="00000000" w:rsidDel="00000000" w:rsidP="00000000" w:rsidRDefault="00000000" w:rsidRPr="00000000" w14:paraId="00000028">
      <w:pPr>
        <w:spacing w:after="240" w:before="240" w:lineRule="auto"/>
        <w:rPr/>
      </w:pPr>
      <w:r w:rsidDel="00000000" w:rsidR="00000000" w:rsidRPr="00000000">
        <w:rPr>
          <w:rtl w:val="0"/>
        </w:rPr>
        <w:t xml:space="preserve">[Department]</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icollaborative-education.beehiiv.com/" TargetMode="External"/><Relationship Id="rId9" Type="http://schemas.openxmlformats.org/officeDocument/2006/relationships/hyperlink" Target="https://u.boodlebox.ai/home" TargetMode="External"/><Relationship Id="rId5" Type="http://schemas.openxmlformats.org/officeDocument/2006/relationships/styles" Target="styles.xml"/><Relationship Id="rId6" Type="http://schemas.openxmlformats.org/officeDocument/2006/relationships/hyperlink" Target="https://app.supademo.com/showcase/clqiwu2fw0t7mpezttu29esxd" TargetMode="External"/><Relationship Id="rId7" Type="http://schemas.openxmlformats.org/officeDocument/2006/relationships/hyperlink" Target="https://u.boodlebox.ai/c/instructor-s-guide-to-collaborative-ai-using-boodlebox/" TargetMode="External"/><Relationship Id="rId8" Type="http://schemas.openxmlformats.org/officeDocument/2006/relationships/hyperlink" Target="https://boodlebox.ai/edu/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